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921" w:rsidRPr="00645921" w:rsidRDefault="00645921" w:rsidP="00645921">
      <w:pPr>
        <w:autoSpaceDE w:val="0"/>
        <w:autoSpaceDN w:val="0"/>
        <w:adjustRightInd w:val="0"/>
        <w:spacing w:after="0" w:line="360" w:lineRule="auto"/>
        <w:rPr>
          <w:rFonts w:ascii="Times New Roman" w:hAnsi="Times New Roman" w:cs="Times New Roman"/>
          <w:b/>
          <w:bCs/>
          <w:sz w:val="28"/>
          <w:szCs w:val="28"/>
        </w:rPr>
      </w:pPr>
      <w:r w:rsidRPr="00645921">
        <w:rPr>
          <w:rFonts w:ascii="Times New Roman" w:hAnsi="Times New Roman" w:cs="Times New Roman"/>
          <w:b/>
          <w:bCs/>
          <w:sz w:val="28"/>
          <w:szCs w:val="28"/>
        </w:rPr>
        <w:t>Objaśnienia do przyjętych wartości w Wieloletniej Prognozie Finansowej Gminy Bobrowniki na lata 2014-2025</w:t>
      </w:r>
    </w:p>
    <w:p w:rsidR="00645921" w:rsidRPr="00645921" w:rsidRDefault="00645921" w:rsidP="00645921">
      <w:pPr>
        <w:tabs>
          <w:tab w:val="left" w:pos="5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80" w:after="280" w:line="240" w:lineRule="auto"/>
        <w:ind w:firstLine="360"/>
        <w:jc w:val="both"/>
        <w:rPr>
          <w:rFonts w:ascii="Times New Roman" w:hAnsi="Times New Roman" w:cs="Times New Roman"/>
          <w:sz w:val="24"/>
          <w:szCs w:val="24"/>
        </w:rPr>
      </w:pPr>
      <w:r w:rsidRPr="00645921">
        <w:rPr>
          <w:rFonts w:ascii="Times New Roman" w:hAnsi="Times New Roman" w:cs="Times New Roman"/>
          <w:sz w:val="24"/>
          <w:szCs w:val="24"/>
        </w:rPr>
        <w:t>Wieloletnia Prognoza Finansowa (zwana dalej WPF) Gminy Bobrowniki została opracowana w oparciu  o obowiązujące przepisy prawne, w tym w szczególności:</w:t>
      </w:r>
    </w:p>
    <w:p w:rsidR="00645921" w:rsidRPr="00645921" w:rsidRDefault="00645921" w:rsidP="00645921">
      <w:pPr>
        <w:numPr>
          <w:ilvl w:val="0"/>
          <w:numId w:val="1"/>
        </w:numPr>
        <w:tabs>
          <w:tab w:val="left" w:pos="360"/>
          <w:tab w:val="left" w:pos="115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sz w:val="24"/>
          <w:szCs w:val="24"/>
        </w:rPr>
      </w:pPr>
      <w:r w:rsidRPr="00645921">
        <w:rPr>
          <w:rFonts w:ascii="Times New Roman" w:hAnsi="Times New Roman" w:cs="Times New Roman"/>
          <w:sz w:val="24"/>
          <w:szCs w:val="24"/>
        </w:rPr>
        <w:t>ustawę o finansach publicznych z dnia 27 sierpnia 2009 r. (Dz. U. z 2009 r. nr 157, poz. 1240 ze zm.),</w:t>
      </w:r>
    </w:p>
    <w:p w:rsidR="00645921" w:rsidRPr="00645921" w:rsidRDefault="00645921" w:rsidP="00645921">
      <w:pPr>
        <w:numPr>
          <w:ilvl w:val="0"/>
          <w:numId w:val="1"/>
        </w:numPr>
        <w:tabs>
          <w:tab w:val="left" w:pos="360"/>
          <w:tab w:val="left" w:pos="115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sz w:val="24"/>
          <w:szCs w:val="24"/>
        </w:rPr>
      </w:pPr>
      <w:r w:rsidRPr="00645921">
        <w:rPr>
          <w:rFonts w:ascii="Times New Roman" w:hAnsi="Times New Roman" w:cs="Times New Roman"/>
          <w:sz w:val="24"/>
          <w:szCs w:val="24"/>
        </w:rPr>
        <w:t>ustawę z dnia 27 sierpnia 2009 r. Przepisy wprowadzające ustawę o finansach publicznych (Dz. U.  z 2009 r. nr 157, poz. 1241, ze zm.),</w:t>
      </w:r>
    </w:p>
    <w:p w:rsidR="00645921" w:rsidRPr="00645921" w:rsidRDefault="00645921" w:rsidP="00645921">
      <w:pPr>
        <w:numPr>
          <w:ilvl w:val="0"/>
          <w:numId w:val="1"/>
        </w:numPr>
        <w:tabs>
          <w:tab w:val="left" w:pos="360"/>
          <w:tab w:val="left" w:pos="115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rPr>
      </w:pPr>
      <w:r w:rsidRPr="00645921">
        <w:rPr>
          <w:rFonts w:ascii="Times New Roman" w:hAnsi="Times New Roman" w:cs="Times New Roman"/>
          <w:sz w:val="24"/>
          <w:szCs w:val="24"/>
        </w:rPr>
        <w:t>ustawę o dochodach jednostek samorządu terytorialnego z 13 listopada 2003 roku (Dz. U. nr 203,   poz. 1966 ze zm.).</w:t>
      </w:r>
    </w:p>
    <w:p w:rsidR="00645921" w:rsidRPr="00645921" w:rsidRDefault="00645921" w:rsidP="00645921">
      <w:pPr>
        <w:autoSpaceDE w:val="0"/>
        <w:autoSpaceDN w:val="0"/>
        <w:adjustRightInd w:val="0"/>
        <w:spacing w:after="0" w:line="360" w:lineRule="auto"/>
        <w:rPr>
          <w:rFonts w:ascii="Times New Roman" w:hAnsi="Times New Roman" w:cs="Times New Roman"/>
          <w:sz w:val="16"/>
          <w:szCs w:val="16"/>
        </w:rPr>
      </w:pPr>
      <w:r w:rsidRPr="00645921">
        <w:rPr>
          <w:rFonts w:ascii="Times New Roman" w:hAnsi="Times New Roman" w:cs="Times New Roman"/>
          <w:sz w:val="24"/>
          <w:szCs w:val="24"/>
        </w:rPr>
        <w:t xml:space="preserve">  </w:t>
      </w:r>
    </w:p>
    <w:p w:rsidR="00645921" w:rsidRPr="00645921" w:rsidRDefault="00645921" w:rsidP="006459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60" w:after="120" w:line="240" w:lineRule="auto"/>
        <w:ind w:firstLine="420"/>
        <w:jc w:val="both"/>
        <w:rPr>
          <w:rFonts w:ascii="Times New Roman" w:hAnsi="Times New Roman" w:cs="Times New Roman"/>
        </w:rPr>
      </w:pPr>
      <w:r w:rsidRPr="00645921">
        <w:rPr>
          <w:rFonts w:ascii="Times New Roman" w:hAnsi="Times New Roman" w:cs="Times New Roman"/>
        </w:rPr>
        <w:t>Podstawą konstrukcji Wieloletniej Prognozy Finansowej Gminy Bobrowniki na lata 2014-2025 są:</w:t>
      </w:r>
    </w:p>
    <w:p w:rsidR="00645921" w:rsidRPr="00645921" w:rsidRDefault="00645921" w:rsidP="00645921">
      <w:pPr>
        <w:tabs>
          <w:tab w:val="left" w:pos="42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420"/>
        <w:jc w:val="both"/>
        <w:rPr>
          <w:rFonts w:ascii="Times New Roman" w:hAnsi="Times New Roman" w:cs="Times New Roman"/>
        </w:rPr>
      </w:pPr>
      <w:r w:rsidRPr="00645921">
        <w:rPr>
          <w:rFonts w:ascii="Times New Roman" w:hAnsi="Times New Roman" w:cs="Times New Roman"/>
        </w:rPr>
        <w:t>1)</w:t>
      </w:r>
      <w:r w:rsidRPr="00645921">
        <w:rPr>
          <w:rFonts w:ascii="Times New Roman" w:hAnsi="Times New Roman" w:cs="Times New Roman"/>
        </w:rPr>
        <w:tab/>
        <w:t xml:space="preserve">przewidywane przez Ministerstwo Finansów kierunki rozwoju sytuacji gospodarczej w kraju,                       </w:t>
      </w:r>
      <w:r w:rsidRPr="00645921">
        <w:rPr>
          <w:rFonts w:ascii="Times New Roman" w:hAnsi="Times New Roman" w:cs="Times New Roman"/>
        </w:rPr>
        <w:tab/>
        <w:t>w tym prognozowane parametry makroekonomiczne,</w:t>
      </w:r>
    </w:p>
    <w:p w:rsidR="00645921" w:rsidRPr="00645921" w:rsidRDefault="00645921" w:rsidP="0064592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60" w:after="120" w:line="240" w:lineRule="auto"/>
        <w:ind w:firstLine="420"/>
        <w:jc w:val="both"/>
        <w:rPr>
          <w:rFonts w:ascii="Times New Roman" w:hAnsi="Times New Roman" w:cs="Times New Roman"/>
        </w:rPr>
      </w:pPr>
      <w:r w:rsidRPr="00645921">
        <w:rPr>
          <w:rFonts w:ascii="Times New Roman" w:hAnsi="Times New Roman" w:cs="Times New Roman"/>
        </w:rPr>
        <w:t>2)</w:t>
      </w:r>
      <w:r w:rsidRPr="00645921">
        <w:rPr>
          <w:rFonts w:ascii="Times New Roman" w:hAnsi="Times New Roman" w:cs="Times New Roman"/>
        </w:rPr>
        <w:tab/>
        <w:t>analiza realizowanych przedsięwzięć i umów wieloletnich,</w:t>
      </w:r>
    </w:p>
    <w:p w:rsidR="00645921" w:rsidRPr="00645921" w:rsidRDefault="00645921" w:rsidP="0064592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60" w:after="120" w:line="240" w:lineRule="auto"/>
        <w:ind w:firstLine="420"/>
        <w:jc w:val="both"/>
        <w:rPr>
          <w:rFonts w:ascii="Times New Roman" w:hAnsi="Times New Roman" w:cs="Times New Roman"/>
        </w:rPr>
      </w:pPr>
      <w:r w:rsidRPr="00645921">
        <w:rPr>
          <w:rFonts w:ascii="Times New Roman" w:hAnsi="Times New Roman" w:cs="Times New Roman"/>
        </w:rPr>
        <w:t>3)</w:t>
      </w:r>
      <w:r w:rsidRPr="00645921">
        <w:rPr>
          <w:rFonts w:ascii="Times New Roman" w:hAnsi="Times New Roman" w:cs="Times New Roman"/>
        </w:rPr>
        <w:tab/>
        <w:t>analiza danych historycznych niezbędnych do prognozowania dochodów i wydatków Gminy                                  Bobrowniki,</w:t>
      </w:r>
    </w:p>
    <w:p w:rsidR="00645921" w:rsidRPr="00645921" w:rsidRDefault="00645921" w:rsidP="0064592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before="60" w:after="120" w:line="240" w:lineRule="auto"/>
        <w:ind w:firstLine="420"/>
        <w:jc w:val="both"/>
        <w:rPr>
          <w:rFonts w:ascii="Times New Roman" w:hAnsi="Times New Roman" w:cs="Times New Roman"/>
          <w:i/>
          <w:iCs/>
          <w:sz w:val="24"/>
          <w:szCs w:val="24"/>
        </w:rPr>
      </w:pPr>
      <w:r w:rsidRPr="00645921">
        <w:rPr>
          <w:rFonts w:ascii="Times New Roman" w:hAnsi="Times New Roman" w:cs="Times New Roman"/>
        </w:rPr>
        <w:t>4)</w:t>
      </w:r>
      <w:r w:rsidRPr="00645921">
        <w:rPr>
          <w:rFonts w:ascii="Times New Roman" w:hAnsi="Times New Roman" w:cs="Times New Roman"/>
        </w:rPr>
        <w:tab/>
        <w:t xml:space="preserve">analiza poziomu zadłużenia w aspekcie obowiązujących i przyszłych norm </w:t>
      </w:r>
      <w:proofErr w:type="spellStart"/>
      <w:r w:rsidRPr="00645921">
        <w:rPr>
          <w:rFonts w:ascii="Times New Roman" w:hAnsi="Times New Roman" w:cs="Times New Roman"/>
        </w:rPr>
        <w:t>ostrożnościowych</w:t>
      </w:r>
      <w:proofErr w:type="spellEnd"/>
      <w:r w:rsidRPr="00645921">
        <w:rPr>
          <w:rFonts w:ascii="Times New Roman" w:hAnsi="Times New Roman" w:cs="Times New Roman"/>
          <w:sz w:val="24"/>
          <w:szCs w:val="24"/>
        </w:rPr>
        <w:t>.</w:t>
      </w:r>
      <w:r w:rsidRPr="00645921">
        <w:rPr>
          <w:rFonts w:ascii="Times New Roman" w:hAnsi="Times New Roman" w:cs="Times New Roman"/>
          <w:i/>
          <w:iCs/>
          <w:sz w:val="24"/>
          <w:szCs w:val="24"/>
        </w:rPr>
        <w:t xml:space="preserve"> </w:t>
      </w:r>
    </w:p>
    <w:p w:rsidR="00645921" w:rsidRPr="00645921" w:rsidRDefault="00645921" w:rsidP="00645921">
      <w:pPr>
        <w:tabs>
          <w:tab w:val="left" w:pos="885"/>
          <w:tab w:val="left" w:pos="1140"/>
          <w:tab w:val="left" w:pos="1170"/>
          <w:tab w:val="left" w:pos="1200"/>
          <w:tab w:val="left" w:pos="1416"/>
          <w:tab w:val="left" w:pos="2124"/>
          <w:tab w:val="left" w:pos="2832"/>
          <w:tab w:val="left" w:pos="3540"/>
          <w:tab w:val="left" w:pos="4248"/>
          <w:tab w:val="left" w:pos="4956"/>
          <w:tab w:val="left" w:pos="5664"/>
          <w:tab w:val="left" w:pos="6372"/>
          <w:tab w:val="left" w:pos="7080"/>
          <w:tab w:val="left" w:pos="7788"/>
        </w:tabs>
        <w:autoSpaceDE w:val="0"/>
        <w:autoSpaceDN w:val="0"/>
        <w:adjustRightInd w:val="0"/>
        <w:spacing w:after="0" w:line="240" w:lineRule="auto"/>
        <w:jc w:val="both"/>
        <w:rPr>
          <w:rFonts w:ascii="Times New Roman" w:hAnsi="Times New Roman" w:cs="Times New Roman"/>
        </w:rPr>
      </w:pP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rPr>
        <w:t>Wieloletnia prognoza finansowa obejmująca opisany powyżej zakres przedstawiona została w formie tabelarycznej przy pomocy 2 załączników, z których pierwszy obejmuje wielkości bazowe (dochody, wydatki, przychody, rozchody) i kwotę długu na lata 2014-2025,  natomiast drugi obejmuje Wykaz przedsięwzięć realizowanych przez jednostki w latach 2014–2025.</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   </w:t>
      </w:r>
      <w:r w:rsidRPr="00645921">
        <w:rPr>
          <w:rFonts w:ascii="Times New Roman" w:hAnsi="Times New Roman" w:cs="Times New Roman"/>
          <w:b/>
          <w:bCs/>
          <w:sz w:val="24"/>
          <w:szCs w:val="24"/>
        </w:rPr>
        <w:t xml:space="preserve">  W wieloletniej prognozie finansowej wartości prognozowanych dochodów i wydatków przyjęto według następujących zasad:</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b/>
          <w:bCs/>
          <w:sz w:val="24"/>
          <w:szCs w:val="24"/>
        </w:rPr>
        <w:t>1).</w:t>
      </w:r>
      <w:r w:rsidRPr="00645921">
        <w:rPr>
          <w:rFonts w:ascii="Times New Roman" w:hAnsi="Times New Roman" w:cs="Times New Roman"/>
          <w:sz w:val="24"/>
          <w:szCs w:val="24"/>
        </w:rPr>
        <w:t xml:space="preserve"> Dla 2014 roku zgodnie z projektem budżetu na 2014 rok na podstawie ich realnego wykonania za trzy kwartały 2013 roku oraz informacji otrzymanej od dysponentów części budżetowych o planowanych dotacjach celowych na realizację zadań zleconych i zadań własnych, a także informacji z Ministerstwa Finansów o wysokości subwencji i udziałach w podatku dochodowym od osób fizycznych. </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Na wynik finansowy budżetu po stronie dochodów  najistotniejszy wpływ mają dochody podatkowe oraz wysokość subwencji ogólnej.</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Dochody w dziale Dochody od osób prawnych, od osób fizycznych i od innych jednostek nieposiadających osobowości prawnej oraz wydatki związane z ich poborem zaplanowano w </w:t>
      </w:r>
      <w:r w:rsidRPr="00645921">
        <w:rPr>
          <w:rFonts w:ascii="Times New Roman" w:hAnsi="Times New Roman" w:cs="Times New Roman"/>
          <w:sz w:val="24"/>
          <w:szCs w:val="24"/>
        </w:rPr>
        <w:lastRenderedPageBreak/>
        <w:t xml:space="preserve">wysokości o </w:t>
      </w:r>
      <w:r w:rsidRPr="00645921">
        <w:rPr>
          <w:rFonts w:ascii="Times New Roman" w:hAnsi="Times New Roman" w:cs="Times New Roman"/>
          <w:color w:val="000000"/>
          <w:sz w:val="24"/>
          <w:szCs w:val="24"/>
        </w:rPr>
        <w:t>2,39</w:t>
      </w:r>
      <w:r w:rsidRPr="00645921">
        <w:rPr>
          <w:rFonts w:ascii="Times New Roman" w:hAnsi="Times New Roman" w:cs="Times New Roman"/>
          <w:sz w:val="24"/>
          <w:szCs w:val="24"/>
        </w:rPr>
        <w:t>% wyższej od planowanej na 2013 rok i uwzględniają one stawki podatkowe planowane na 2014 rok oraz wyższą kwotę dochodu z udziału we wpływach z podatku dochodowego od osób fizycznych, zgodnie z pismem z Ministerstwa Finansów. Dochody z subwencji ogólnej na 20</w:t>
      </w:r>
      <w:r w:rsidRPr="00645921">
        <w:rPr>
          <w:rFonts w:ascii="Times New Roman" w:hAnsi="Times New Roman" w:cs="Times New Roman"/>
          <w:color w:val="000000"/>
          <w:sz w:val="24"/>
          <w:szCs w:val="24"/>
        </w:rPr>
        <w:t>14 rok zaplanowane zostały zgodnie z pismem z Ministerstwa Finansów – pismo z dnia 10.10.2013r.</w:t>
      </w:r>
      <w:r w:rsidRPr="00645921">
        <w:rPr>
          <w:rFonts w:ascii="Arial" w:hAnsi="Arial" w:cs="Arial"/>
          <w:sz w:val="24"/>
          <w:szCs w:val="24"/>
        </w:rPr>
        <w:t xml:space="preserve"> </w:t>
      </w:r>
      <w:r w:rsidRPr="00645921">
        <w:rPr>
          <w:rFonts w:ascii="Times New Roman" w:hAnsi="Times New Roman" w:cs="Times New Roman"/>
          <w:sz w:val="24"/>
          <w:szCs w:val="24"/>
        </w:rPr>
        <w:t xml:space="preserve"> w wysokości o </w:t>
      </w:r>
      <w:r w:rsidRPr="00645921">
        <w:rPr>
          <w:rFonts w:ascii="Times New Roman" w:hAnsi="Times New Roman" w:cs="Times New Roman"/>
          <w:color w:val="000000"/>
          <w:sz w:val="24"/>
          <w:szCs w:val="24"/>
        </w:rPr>
        <w:t>2,12</w:t>
      </w:r>
      <w:r w:rsidRPr="00645921">
        <w:rPr>
          <w:rFonts w:ascii="Times New Roman" w:hAnsi="Times New Roman" w:cs="Times New Roman"/>
          <w:sz w:val="24"/>
          <w:szCs w:val="24"/>
        </w:rPr>
        <w:t>% wyższej od planowanych na 2013 rok (wg planu na dzień 12.11.2013r.).</w:t>
      </w:r>
    </w:p>
    <w:p w:rsidR="00645921" w:rsidRPr="00645921" w:rsidRDefault="00645921" w:rsidP="00645921">
      <w:pPr>
        <w:autoSpaceDE w:val="0"/>
        <w:autoSpaceDN w:val="0"/>
        <w:adjustRightInd w:val="0"/>
        <w:spacing w:after="0" w:line="360" w:lineRule="auto"/>
        <w:rPr>
          <w:rFonts w:ascii="Arial" w:hAnsi="Arial" w:cs="Arial"/>
          <w:sz w:val="24"/>
          <w:szCs w:val="24"/>
        </w:rPr>
      </w:pPr>
      <w:r w:rsidRPr="00645921">
        <w:rPr>
          <w:rFonts w:ascii="Times New Roman" w:hAnsi="Times New Roman" w:cs="Times New Roman"/>
          <w:sz w:val="24"/>
          <w:szCs w:val="24"/>
        </w:rPr>
        <w:t xml:space="preserve">Kwoty dotacji celowych przyjęto zgodnie z danymi uzyskanymi z Urzędu Wojewódzkiego – pismo z dnia 22.10.2013r. oraz Krajowego Biura Wyborczego Delegatury we Włocławku – pismo z dnia 16.10.2013r. W dochodach własnych zaplanowano dochody za dostarczanie wody z wodociągu komunalnego oraz odprowadzanie ścieków </w:t>
      </w:r>
      <w:r w:rsidRPr="00645921">
        <w:rPr>
          <w:rFonts w:ascii="Times New Roman" w:hAnsi="Times New Roman" w:cs="Times New Roman"/>
          <w:color w:val="000000"/>
          <w:sz w:val="24"/>
          <w:szCs w:val="24"/>
        </w:rPr>
        <w:t>w wysokości</w:t>
      </w:r>
      <w:r w:rsidRPr="00645921">
        <w:rPr>
          <w:rFonts w:ascii="Times New Roman" w:hAnsi="Times New Roman" w:cs="Times New Roman"/>
          <w:sz w:val="24"/>
          <w:szCs w:val="24"/>
        </w:rPr>
        <w:t xml:space="preserve"> takiej jak w  2013r.</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 W prognozie uwzględniono zadania i przedsięwzięcia do realizacji na poszczególnych stanowiskach pracy.</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W działach klasyfikacji budżetowej mających istotny wpływ na wynik finansowy budżetu zaplanowano na 2014 rok wydatki w porównaniu z 2013 rokiem (wg uchwały budżetowej z dnia 12.10.2013r.):</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w dziale Administracja publiczna o </w:t>
      </w:r>
      <w:r w:rsidRPr="00645921">
        <w:rPr>
          <w:rFonts w:ascii="Times New Roman" w:hAnsi="Times New Roman" w:cs="Times New Roman"/>
          <w:color w:val="000000"/>
          <w:sz w:val="24"/>
          <w:szCs w:val="24"/>
        </w:rPr>
        <w:t>1,79</w:t>
      </w:r>
      <w:r w:rsidRPr="00645921">
        <w:rPr>
          <w:rFonts w:ascii="Times New Roman" w:hAnsi="Times New Roman" w:cs="Times New Roman"/>
          <w:sz w:val="24"/>
          <w:szCs w:val="24"/>
        </w:rPr>
        <w:t>% mniejsze,</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w dziale Oświata i wychowanie o </w:t>
      </w:r>
      <w:r w:rsidRPr="00645921">
        <w:rPr>
          <w:rFonts w:ascii="Times New Roman" w:hAnsi="Times New Roman" w:cs="Times New Roman"/>
          <w:color w:val="000000"/>
          <w:sz w:val="24"/>
          <w:szCs w:val="24"/>
        </w:rPr>
        <w:t>4,33</w:t>
      </w:r>
      <w:r w:rsidRPr="00645921">
        <w:rPr>
          <w:rFonts w:ascii="Times New Roman" w:hAnsi="Times New Roman" w:cs="Times New Roman"/>
          <w:sz w:val="24"/>
          <w:szCs w:val="24"/>
        </w:rPr>
        <w:t>% większe,</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w dziale Gospodarka komunalna o </w:t>
      </w:r>
      <w:r w:rsidRPr="00645921">
        <w:rPr>
          <w:rFonts w:ascii="Times New Roman" w:hAnsi="Times New Roman" w:cs="Times New Roman"/>
          <w:color w:val="000000"/>
          <w:sz w:val="24"/>
          <w:szCs w:val="24"/>
        </w:rPr>
        <w:t>1,2</w:t>
      </w:r>
      <w:r w:rsidRPr="00645921">
        <w:rPr>
          <w:rFonts w:ascii="Times New Roman" w:hAnsi="Times New Roman" w:cs="Times New Roman"/>
          <w:sz w:val="24"/>
          <w:szCs w:val="24"/>
        </w:rPr>
        <w:t>% większe,</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w rozdziale Ośrodki pomocy społecznej o </w:t>
      </w:r>
      <w:r w:rsidRPr="00645921">
        <w:rPr>
          <w:rFonts w:ascii="Times New Roman" w:hAnsi="Times New Roman" w:cs="Times New Roman"/>
          <w:color w:val="000000"/>
          <w:sz w:val="24"/>
          <w:szCs w:val="24"/>
        </w:rPr>
        <w:t>0,55</w:t>
      </w:r>
      <w:r w:rsidRPr="00645921">
        <w:rPr>
          <w:rFonts w:ascii="Times New Roman" w:hAnsi="Times New Roman" w:cs="Times New Roman"/>
          <w:sz w:val="24"/>
          <w:szCs w:val="24"/>
        </w:rPr>
        <w:t>% większe.</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b/>
          <w:bCs/>
          <w:sz w:val="24"/>
          <w:szCs w:val="24"/>
        </w:rPr>
        <w:t xml:space="preserve">       Wybrane wielkości dot. dochodów w latach 2009-2012.</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Rok 2009 - Wysokość dochodów Gminy wg uchwały pierwotnej: 8 801 785zł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i wykonanie:9 843 067zł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Rok 2010 - Wysokość dochodów Gminy wg uchwały pierwotnej: 9 703 922zł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i wykonanie: 11 423 720zł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Rok 2011 - Wysokość dochodów Gminy wg uchwały pierwotnej: 10 147 072zł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i wykonanie: 10 872 186zł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Rok 2012 - Wysokość dochodów Gminy wg uchwały pierwotnej:</w:t>
      </w:r>
      <w:r w:rsidRPr="00645921">
        <w:rPr>
          <w:rFonts w:ascii="Times New Roman" w:hAnsi="Times New Roman" w:cs="Times New Roman"/>
          <w:color w:val="000000"/>
          <w:sz w:val="24"/>
          <w:szCs w:val="24"/>
        </w:rPr>
        <w:t xml:space="preserve"> 8 945 777</w:t>
      </w:r>
      <w:r w:rsidRPr="00645921">
        <w:rPr>
          <w:rFonts w:ascii="Times New Roman" w:hAnsi="Times New Roman" w:cs="Times New Roman"/>
          <w:sz w:val="24"/>
          <w:szCs w:val="24"/>
        </w:rPr>
        <w:t>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i wykonanie: </w:t>
      </w:r>
      <w:r w:rsidRPr="00645921">
        <w:rPr>
          <w:rFonts w:ascii="Times New Roman" w:hAnsi="Times New Roman" w:cs="Times New Roman"/>
          <w:color w:val="000000"/>
          <w:sz w:val="24"/>
          <w:szCs w:val="24"/>
        </w:rPr>
        <w:t>9 612 694</w:t>
      </w:r>
      <w:r w:rsidRPr="00645921">
        <w:rPr>
          <w:rFonts w:ascii="Times New Roman" w:hAnsi="Times New Roman" w:cs="Times New Roman"/>
          <w:sz w:val="24"/>
          <w:szCs w:val="24"/>
        </w:rPr>
        <w:t>zł</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Na podstawie analizy budżetów z lat poprzednich zauważyć należy, że w wyniku zmian dokonanych w trakcie roku wysokość budżetu znacznie wzrastała (np. w 2009 roku wzrost o </w:t>
      </w:r>
      <w:r w:rsidRPr="00645921">
        <w:rPr>
          <w:rFonts w:ascii="Times New Roman" w:hAnsi="Times New Roman" w:cs="Times New Roman"/>
          <w:sz w:val="24"/>
          <w:szCs w:val="24"/>
        </w:rPr>
        <w:lastRenderedPageBreak/>
        <w:t xml:space="preserve">12%, w 2010 roku o 18%, w 2011 roku wzrost o 7%,w 2012 roku wzrost o </w:t>
      </w:r>
      <w:r w:rsidRPr="00645921">
        <w:rPr>
          <w:rFonts w:ascii="Times New Roman" w:hAnsi="Times New Roman" w:cs="Times New Roman"/>
          <w:color w:val="000000"/>
          <w:sz w:val="24"/>
          <w:szCs w:val="24"/>
        </w:rPr>
        <w:t>7,5</w:t>
      </w:r>
      <w:r w:rsidRPr="00645921">
        <w:rPr>
          <w:rFonts w:ascii="Times New Roman" w:hAnsi="Times New Roman" w:cs="Times New Roman"/>
          <w:sz w:val="24"/>
          <w:szCs w:val="24"/>
        </w:rPr>
        <w:t>%), co spowodowane było głównie wzrostem kwot dotacji celowych , stąd nasuwa się wniosek, że wysokość budżetu na 2014 rok również wzrośnie w wyniku zwiększenia kwot dotacji. Ma to znaczący wpływ na wysokość wska</w:t>
      </w:r>
      <w:r w:rsidR="004F5075">
        <w:rPr>
          <w:rFonts w:ascii="Times New Roman" w:hAnsi="Times New Roman" w:cs="Times New Roman"/>
          <w:sz w:val="24"/>
          <w:szCs w:val="24"/>
        </w:rPr>
        <w:t>ź</w:t>
      </w:r>
      <w:r w:rsidRPr="00645921">
        <w:rPr>
          <w:rFonts w:ascii="Times New Roman" w:hAnsi="Times New Roman" w:cs="Times New Roman"/>
          <w:sz w:val="24"/>
          <w:szCs w:val="24"/>
        </w:rPr>
        <w:t xml:space="preserve">nika zadłużenia Gminy, oraz w niewielkim stopniu na wielkości wskaźnika spłat.     </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b/>
          <w:bCs/>
          <w:sz w:val="24"/>
          <w:szCs w:val="24"/>
        </w:rPr>
        <w:t>2).</w:t>
      </w:r>
      <w:r w:rsidRPr="00645921">
        <w:rPr>
          <w:rFonts w:ascii="Times New Roman" w:hAnsi="Times New Roman" w:cs="Times New Roman"/>
          <w:sz w:val="24"/>
          <w:szCs w:val="24"/>
        </w:rPr>
        <w:t xml:space="preserve"> Dla lat 2014-2025 przyjęto:</w:t>
      </w:r>
    </w:p>
    <w:p w:rsidR="00645921" w:rsidRPr="00645921" w:rsidRDefault="00645921" w:rsidP="00645921">
      <w:pPr>
        <w:tabs>
          <w:tab w:val="left" w:pos="311"/>
          <w:tab w:val="left" w:pos="1218"/>
        </w:tabs>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a) w dochodach wskaźnik wzrostu zbliżony do wzrostu PKB w wysokości 2,5-3% z uwzględnieniem wpływu wskaźników demograficznych na wysokość subwencji .</w:t>
      </w:r>
    </w:p>
    <w:p w:rsidR="00645921" w:rsidRPr="00645921" w:rsidRDefault="00645921" w:rsidP="00645921">
      <w:pPr>
        <w:tabs>
          <w:tab w:val="left" w:pos="311"/>
          <w:tab w:val="left" w:pos="1218"/>
        </w:tabs>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b) po st</w:t>
      </w:r>
      <w:r w:rsidR="004F5075">
        <w:rPr>
          <w:rFonts w:ascii="Times New Roman" w:hAnsi="Times New Roman" w:cs="Times New Roman"/>
          <w:sz w:val="24"/>
          <w:szCs w:val="24"/>
        </w:rPr>
        <w:t xml:space="preserve">ronie wydatków przyjęto wzrost </w:t>
      </w:r>
      <w:r w:rsidRPr="00645921">
        <w:rPr>
          <w:rFonts w:ascii="Times New Roman" w:hAnsi="Times New Roman" w:cs="Times New Roman"/>
          <w:sz w:val="24"/>
          <w:szCs w:val="24"/>
        </w:rPr>
        <w:t>w granicach ok. 1,5-3% kierując się prz</w:t>
      </w:r>
      <w:r w:rsidR="004F5075">
        <w:rPr>
          <w:rFonts w:ascii="Times New Roman" w:hAnsi="Times New Roman" w:cs="Times New Roman"/>
          <w:sz w:val="24"/>
          <w:szCs w:val="24"/>
        </w:rPr>
        <w:t>e</w:t>
      </w:r>
      <w:r w:rsidRPr="00645921">
        <w:rPr>
          <w:rFonts w:ascii="Times New Roman" w:hAnsi="Times New Roman" w:cs="Times New Roman"/>
          <w:sz w:val="24"/>
          <w:szCs w:val="24"/>
        </w:rPr>
        <w:t>widywanym wskaźnikiem inflacji, działaniami podejmowanymi na rzecz racjonalizacji i zmniejszenia wydatków bieżących i  przy uwzględnieniu planowanych zamierzeń organizacyjnych i gospodarczych (</w:t>
      </w:r>
      <w:r w:rsidRPr="00645921">
        <w:rPr>
          <w:rFonts w:ascii="Times New Roman" w:hAnsi="Times New Roman" w:cs="Times New Roman"/>
          <w:color w:val="000000"/>
          <w:sz w:val="24"/>
          <w:szCs w:val="24"/>
        </w:rPr>
        <w:t>średnioroczny wzrost cen towarów i usług konsumpcyjnych ogółem – 2,4 %</w:t>
      </w:r>
      <w:r w:rsidRPr="00645921">
        <w:rPr>
          <w:rFonts w:ascii="Times New Roman" w:hAnsi="Times New Roman" w:cs="Times New Roman"/>
          <w:sz w:val="24"/>
          <w:szCs w:val="24"/>
        </w:rPr>
        <w:t>).</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 xml:space="preserve">        Wartość wskaźników "</w:t>
      </w:r>
      <w:r w:rsidRPr="00645921">
        <w:rPr>
          <w:rFonts w:ascii="Times New Roman" w:hAnsi="Times New Roman" w:cs="Times New Roman"/>
          <w:color w:val="000000"/>
          <w:sz w:val="24"/>
          <w:szCs w:val="24"/>
        </w:rPr>
        <w:t>średnioroczny wzrost cen towarów i usług konsumpcyjnych ogółem"</w:t>
      </w:r>
      <w:r w:rsidRPr="00645921">
        <w:rPr>
          <w:rFonts w:ascii="Times New Roman" w:hAnsi="Times New Roman" w:cs="Times New Roman"/>
          <w:sz w:val="24"/>
          <w:szCs w:val="24"/>
        </w:rPr>
        <w:t xml:space="preserve"> i "wzrostu PKB" przyjęto na podstawie informacji  z Min. Finansów.  Odsetki od kredytów zaplanowano na podstawie WIBOR 3mies. z dnia 06.11.2013r. - 2,66%.</w:t>
      </w:r>
    </w:p>
    <w:p w:rsidR="00645921" w:rsidRPr="00645921" w:rsidRDefault="00645921" w:rsidP="00645921">
      <w:pPr>
        <w:autoSpaceDE w:val="0"/>
        <w:autoSpaceDN w:val="0"/>
        <w:adjustRightInd w:val="0"/>
        <w:spacing w:after="0" w:line="360" w:lineRule="auto"/>
        <w:rPr>
          <w:rFonts w:ascii="Times New Roman" w:hAnsi="Times New Roman" w:cs="Times New Roman"/>
          <w:sz w:val="24"/>
          <w:szCs w:val="24"/>
        </w:rPr>
      </w:pPr>
      <w:r w:rsidRPr="00645921">
        <w:rPr>
          <w:rFonts w:ascii="Times New Roman" w:hAnsi="Times New Roman" w:cs="Times New Roman"/>
          <w:sz w:val="24"/>
          <w:szCs w:val="24"/>
        </w:rPr>
        <w:t>Budżet od 2014 do 2025 roku planowany jest z nadwyżką, przy ogranicz</w:t>
      </w:r>
      <w:r w:rsidR="004F5075">
        <w:rPr>
          <w:rFonts w:ascii="Times New Roman" w:hAnsi="Times New Roman" w:cs="Times New Roman"/>
          <w:sz w:val="24"/>
          <w:szCs w:val="24"/>
        </w:rPr>
        <w:t>o</w:t>
      </w:r>
      <w:r w:rsidRPr="00645921">
        <w:rPr>
          <w:rFonts w:ascii="Times New Roman" w:hAnsi="Times New Roman" w:cs="Times New Roman"/>
          <w:sz w:val="24"/>
          <w:szCs w:val="24"/>
        </w:rPr>
        <w:t>nych, ale wzrastających wydatkach inwestycyjnych, co spowod</w:t>
      </w:r>
      <w:r w:rsidR="004F5075">
        <w:rPr>
          <w:rFonts w:ascii="Times New Roman" w:hAnsi="Times New Roman" w:cs="Times New Roman"/>
          <w:sz w:val="24"/>
          <w:szCs w:val="24"/>
        </w:rPr>
        <w:t>o</w:t>
      </w:r>
      <w:r w:rsidRPr="00645921">
        <w:rPr>
          <w:rFonts w:ascii="Times New Roman" w:hAnsi="Times New Roman" w:cs="Times New Roman"/>
          <w:sz w:val="24"/>
          <w:szCs w:val="24"/>
        </w:rPr>
        <w:t>wane jest koniecznością wygospodarowania środków na obsługę zadłużenia. Po stronie rozchodów w WPF zaplanowano spłaty zadłużenia Gminy.</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Arial" w:hAnsi="Arial" w:cs="Arial"/>
          <w:color w:val="000000"/>
          <w:sz w:val="20"/>
          <w:szCs w:val="20"/>
        </w:rPr>
        <w:t xml:space="preserve">  </w:t>
      </w:r>
      <w:r w:rsidRPr="00645921">
        <w:rPr>
          <w:rFonts w:ascii="Times New Roman" w:hAnsi="Times New Roman" w:cs="Times New Roman"/>
          <w:color w:val="000000"/>
          <w:sz w:val="24"/>
          <w:szCs w:val="24"/>
        </w:rPr>
        <w:t xml:space="preserve"> Łącznie prognozowane zadłużenie budżetu Gminy Bobrowniki na 31.12.2013 rok wynosi </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Times New Roman" w:hAnsi="Times New Roman" w:cs="Times New Roman"/>
          <w:color w:val="000000"/>
          <w:sz w:val="24"/>
          <w:szCs w:val="24"/>
        </w:rPr>
        <w:t>4 326 339zł, a wskaźnik zadłużenia 39,92%. Prognoza na koniec 2014 roku przewiduje zadłużenie na poziomie 42,61% - nie jest to spowodowane wzrostem zadłużenia, które faktycznie obniży się w stosunku do roku 2013, lecz zaniżonym planem dochodów budżetowych, które w trakcie roku budżetowego corocznie wzrastają w wyniku wielokrotnych zmian kwot dotacji celowych.</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Times New Roman" w:hAnsi="Times New Roman" w:cs="Times New Roman"/>
          <w:color w:val="000000"/>
          <w:sz w:val="24"/>
          <w:szCs w:val="24"/>
        </w:rPr>
        <w:t xml:space="preserve">          Dokonana w latach 2012 i 2013 konsolidacja zadłużenia pozwoliła obniżyć koszty obsługi zadłużenia i wydłużyć okres spłaty długu do roku 2025. W połączeniu ze spadkiem wartości WIBOR konsolidacja poprawiła wymagany z art. 243 ustawy o finansach publicznych wskaźnik spłaty, który w 2014 roku planowany jest w wysokości 5,24% i </w:t>
      </w:r>
      <w:r w:rsidRPr="00645921">
        <w:rPr>
          <w:rFonts w:ascii="Times New Roman" w:hAnsi="Times New Roman" w:cs="Times New Roman"/>
          <w:color w:val="000000"/>
          <w:sz w:val="24"/>
          <w:szCs w:val="24"/>
        </w:rPr>
        <w:lastRenderedPageBreak/>
        <w:t>z</w:t>
      </w:r>
      <w:r w:rsidR="004F5075">
        <w:rPr>
          <w:rFonts w:ascii="Times New Roman" w:hAnsi="Times New Roman" w:cs="Times New Roman"/>
          <w:color w:val="000000"/>
          <w:sz w:val="24"/>
          <w:szCs w:val="24"/>
        </w:rPr>
        <w:t>a</w:t>
      </w:r>
      <w:r w:rsidRPr="00645921">
        <w:rPr>
          <w:rFonts w:ascii="Times New Roman" w:hAnsi="Times New Roman" w:cs="Times New Roman"/>
          <w:color w:val="000000"/>
          <w:sz w:val="24"/>
          <w:szCs w:val="24"/>
        </w:rPr>
        <w:t xml:space="preserve">równo w roku bazowym jak i w całym okresie prognozowania mieści się w granicach określonych ustawą. </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Times New Roman" w:hAnsi="Times New Roman" w:cs="Times New Roman"/>
          <w:color w:val="000000"/>
          <w:sz w:val="24"/>
          <w:szCs w:val="24"/>
        </w:rPr>
        <w:t xml:space="preserve">         Prognoza przewiduje zerową wysokość środków z rozliczeń na koniec 2013 roku. Po sporządzeniu bilansu za 2013 rok i ustaleniu ich wysokości dokonana zostanie ponownie analiza budżetu i określony zostanie cel na jaki przeznaczone zostaną środki z rozliczeń. </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Times New Roman" w:hAnsi="Times New Roman" w:cs="Times New Roman"/>
          <w:color w:val="000000"/>
          <w:sz w:val="24"/>
          <w:szCs w:val="24"/>
        </w:rPr>
        <w:t xml:space="preserve">      Wykaz przedsięwzięć do wieloletniej prognozy finansowej obejmuje jedno kontynuowane zadanie "Rekultywacja wysypiska odpadów komunalnych - Likwidacja wysypiska odpadów komunalnych", które będzie współfinansowane ze środków Unii Europejskiej i budżetu wojewódzkiego, o łącznej wartości robót 778 250,00zł, z czego na 2014 rok przypada 229 475,00zł. Budżet Gminy na 2014 rok przewiduje wydatki ze środków własnych w kwocie 20 000,00zł, związane z tym projektem. Kontynuacja i zakończenie przedsięwzięcia zaplanowane jest na 2015 rok. </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Times New Roman" w:hAnsi="Times New Roman" w:cs="Times New Roman"/>
          <w:color w:val="000000"/>
          <w:sz w:val="24"/>
          <w:szCs w:val="24"/>
        </w:rPr>
        <w:t xml:space="preserve">       Podjęto zdecydowane działania oszczędnościowe, w szczególności: ograniczono do niezbędnego minimum wydatki inwestycyjne oraz zakupy sprzętu i wyposażenia, ograniczono ilości oddziałów w szkołach poprzez ustalenie wyższej górnej granicy ilości uczniów w klasach, przeprowadzono audyt zasilania urządzeń energetycznych co pozwoliło na obniżenie kosztów zakupu energii elektrycznej, ponadto Gmina przystąpiła do inicjatywy wspólnego przetargu na zakup energii elektrycznej dla gmin Powiatu Lipnowskiego co skutkuje oszczędnościami w 2012 i 2013 roku oraz latach następnych.  Konieczne jest konstruowanie na okres prognozowania budżetów z nadwyżką, aby realnie zmniejszyć poziom zadłużenia budżetu Gminy, co poza poprawą wskaźników, pozwoli także na zmniejszenie kosztów obsługi zadłużenia. Opisane działania zmierzają do zachowania wymaganych wskaźników wynikających z ustawy o finansach publicznych i podporządkowane będą rygorom przepisów prawa, a w końcowym okresie prognozowania umożliwią realizację kolejnych zadań inwestycyjnych. </w:t>
      </w:r>
    </w:p>
    <w:p w:rsidR="00645921" w:rsidRPr="00645921" w:rsidRDefault="00645921" w:rsidP="00645921">
      <w:pPr>
        <w:autoSpaceDE w:val="0"/>
        <w:autoSpaceDN w:val="0"/>
        <w:adjustRightInd w:val="0"/>
        <w:spacing w:after="0" w:line="360" w:lineRule="auto"/>
        <w:rPr>
          <w:rFonts w:ascii="Times New Roman" w:hAnsi="Times New Roman" w:cs="Times New Roman"/>
          <w:color w:val="000000"/>
          <w:sz w:val="24"/>
          <w:szCs w:val="24"/>
        </w:rPr>
      </w:pPr>
      <w:r w:rsidRPr="00645921">
        <w:rPr>
          <w:rFonts w:ascii="Times New Roman" w:hAnsi="Times New Roman" w:cs="Times New Roman"/>
          <w:color w:val="000000"/>
          <w:sz w:val="24"/>
          <w:szCs w:val="24"/>
        </w:rPr>
        <w:t>Wieloletnia prognoza finansowa</w:t>
      </w:r>
      <w:r w:rsidRPr="00645921">
        <w:rPr>
          <w:rFonts w:ascii="Times New Roman" w:hAnsi="Times New Roman" w:cs="Times New Roman"/>
          <w:sz w:val="24"/>
          <w:szCs w:val="24"/>
        </w:rPr>
        <w:t xml:space="preserve"> wskazuje, że od 2014 roku w całym okresie prognozowania, Gmina zachowa wymagane wskaźniki łącznej kwoty spłaty zobowiązań, o których mowa w a</w:t>
      </w:r>
      <w:r w:rsidRPr="00645921">
        <w:rPr>
          <w:rFonts w:ascii="Times New Roman" w:hAnsi="Times New Roman" w:cs="Times New Roman"/>
          <w:color w:val="000000"/>
          <w:sz w:val="24"/>
          <w:szCs w:val="24"/>
        </w:rPr>
        <w:t xml:space="preserve">rt.169 i art.243 ustawy o finansach publicznych </w:t>
      </w:r>
      <w:r w:rsidRPr="00645921">
        <w:rPr>
          <w:rFonts w:ascii="Times New Roman" w:hAnsi="Times New Roman" w:cs="Times New Roman"/>
          <w:sz w:val="24"/>
          <w:szCs w:val="24"/>
        </w:rPr>
        <w:t>.</w:t>
      </w:r>
    </w:p>
    <w:p w:rsidR="00645921" w:rsidRPr="00645921" w:rsidRDefault="00645921" w:rsidP="00645921">
      <w:pPr>
        <w:autoSpaceDE w:val="0"/>
        <w:autoSpaceDN w:val="0"/>
        <w:adjustRightInd w:val="0"/>
        <w:spacing w:after="0" w:line="240" w:lineRule="auto"/>
        <w:rPr>
          <w:rFonts w:ascii="Times New Roman" w:hAnsi="Times New Roman" w:cs="Times New Roman"/>
          <w:color w:val="000000"/>
          <w:sz w:val="24"/>
          <w:szCs w:val="24"/>
        </w:rPr>
      </w:pPr>
    </w:p>
    <w:p w:rsidR="00E20BC9" w:rsidRDefault="00E20BC9"/>
    <w:sectPr w:rsidR="00E20BC9" w:rsidSect="0017120F">
      <w:pgSz w:w="11894" w:h="15840"/>
      <w:pgMar w:top="1440" w:right="1440" w:bottom="1417"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ind w:left="1155" w:hanging="360"/>
      </w:pPr>
      <w:rPr>
        <w:rFonts w:ascii="Symbol" w:hAnsi="Symbol" w:cs="Symbol" w:hint="default"/>
        <w:b w:val="0"/>
        <w:bCs w:val="0"/>
        <w:i w:val="0"/>
        <w:iCs w:val="0"/>
        <w:strike w:val="0"/>
        <w:color w:val="auto"/>
        <w:sz w:val="24"/>
        <w:szCs w:val="24"/>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compat/>
  <w:rsids>
    <w:rsidRoot w:val="00645921"/>
    <w:rsid w:val="004E4D7B"/>
    <w:rsid w:val="004F5075"/>
    <w:rsid w:val="00645921"/>
    <w:rsid w:val="00E20BC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20BC9"/>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645921"/>
    <w:pPr>
      <w:autoSpaceDE w:val="0"/>
      <w:autoSpaceDN w:val="0"/>
      <w:adjustRightInd w:val="0"/>
      <w:spacing w:after="0" w:line="240" w:lineRule="auto"/>
    </w:pPr>
    <w:rPr>
      <w:rFonts w:ascii="Arial" w:hAnsi="Arial" w:cs="Arial"/>
      <w:sz w:val="24"/>
      <w:szCs w:val="24"/>
    </w:rPr>
  </w:style>
  <w:style w:type="paragraph" w:customStyle="1" w:styleId="Standard">
    <w:name w:val="Standard"/>
    <w:basedOn w:val="Normal"/>
    <w:uiPriority w:val="99"/>
    <w:rsid w:val="00645921"/>
    <w:rPr>
      <w:rFonts w:ascii="Times New Roman" w:hAnsi="Times New Roman" w:cs="Times New Roman"/>
    </w:rPr>
  </w:style>
  <w:style w:type="paragraph" w:customStyle="1" w:styleId="Textbody">
    <w:name w:val="Text body"/>
    <w:basedOn w:val="Standard"/>
    <w:uiPriority w:val="99"/>
    <w:rsid w:val="00645921"/>
    <w:pPr>
      <w:spacing w:after="1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1225</Words>
  <Characters>7350</Characters>
  <Application>Microsoft Office Word</Application>
  <DocSecurity>0</DocSecurity>
  <Lines>61</Lines>
  <Paragraphs>17</Paragraphs>
  <ScaleCrop>false</ScaleCrop>
  <Company>Acer</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dc:creator>
  <cp:keywords/>
  <dc:description/>
  <cp:lastModifiedBy>Paweł</cp:lastModifiedBy>
  <cp:revision>3</cp:revision>
  <dcterms:created xsi:type="dcterms:W3CDTF">2013-11-14T09:58:00Z</dcterms:created>
  <dcterms:modified xsi:type="dcterms:W3CDTF">2013-11-14T10:00:00Z</dcterms:modified>
</cp:coreProperties>
</file>